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136EE2" w14:textId="77777777" w:rsidR="006852E0" w:rsidRDefault="00275376">
      <w:bookmarkStart w:id="0" w:name="_GoBack"/>
      <w:bookmarkEnd w:id="0"/>
      <w:r w:rsidRPr="001E2471">
        <w:rPr>
          <w:noProof/>
        </w:rPr>
        <w:drawing>
          <wp:anchor distT="0" distB="0" distL="114300" distR="114300" simplePos="0" relativeHeight="251659264" behindDoc="0" locked="0" layoutInCell="1" allowOverlap="1" wp14:anchorId="0F5EE120" wp14:editId="45EF3C1A">
            <wp:simplePos x="0" y="0"/>
            <wp:positionH relativeFrom="column">
              <wp:posOffset>7477125</wp:posOffset>
            </wp:positionH>
            <wp:positionV relativeFrom="paragraph">
              <wp:posOffset>-285750</wp:posOffset>
            </wp:positionV>
            <wp:extent cx="1581785" cy="87639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id-1521009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876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"/>
        <w:tblW w:w="1440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3465"/>
        <w:gridCol w:w="3180"/>
        <w:gridCol w:w="2595"/>
        <w:gridCol w:w="3510"/>
      </w:tblGrid>
      <w:tr w:rsidR="006852E0" w14:paraId="4A8110A5" w14:textId="77777777">
        <w:trPr>
          <w:trHeight w:val="560"/>
        </w:trPr>
        <w:tc>
          <w:tcPr>
            <w:tcW w:w="144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183FB" w14:textId="77777777" w:rsidR="006852E0" w:rsidRDefault="00D22407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Healthful Living Argumentative Writing Rubric</w:t>
            </w:r>
          </w:p>
        </w:tc>
      </w:tr>
      <w:tr w:rsidR="006852E0" w14:paraId="32C68C3D" w14:textId="77777777">
        <w:tc>
          <w:tcPr>
            <w:tcW w:w="1650" w:type="dxa"/>
            <w:tcBorders>
              <w:top w:val="nil"/>
              <w:left w:val="nil"/>
              <w:bottom w:val="single" w:sz="36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86953" w14:textId="77777777" w:rsidR="006852E0" w:rsidRDefault="006852E0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D77C2" w14:textId="77777777" w:rsidR="006852E0" w:rsidRDefault="00D22407">
            <w:pPr>
              <w:widowControl w:val="0"/>
              <w:spacing w:line="240" w:lineRule="auto"/>
              <w:contextualSpacing w:val="0"/>
            </w:pPr>
            <w:r>
              <w:rPr>
                <w:b/>
                <w:i/>
              </w:rPr>
              <w:t>Strong Command</w:t>
            </w:r>
          </w:p>
        </w:tc>
        <w:tc>
          <w:tcPr>
            <w:tcW w:w="3180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828D0" w14:textId="77777777" w:rsidR="006852E0" w:rsidRDefault="00D22407">
            <w:pPr>
              <w:widowControl w:val="0"/>
              <w:spacing w:line="240" w:lineRule="auto"/>
              <w:contextualSpacing w:val="0"/>
            </w:pPr>
            <w:r>
              <w:rPr>
                <w:b/>
                <w:i/>
              </w:rPr>
              <w:t>Adequate Command</w:t>
            </w:r>
          </w:p>
        </w:tc>
        <w:tc>
          <w:tcPr>
            <w:tcW w:w="2595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29D83" w14:textId="77777777" w:rsidR="006852E0" w:rsidRDefault="00D22407">
            <w:pPr>
              <w:widowControl w:val="0"/>
              <w:spacing w:line="240" w:lineRule="auto"/>
              <w:contextualSpacing w:val="0"/>
            </w:pPr>
            <w:r>
              <w:rPr>
                <w:b/>
                <w:i/>
              </w:rPr>
              <w:t>Weak Command</w:t>
            </w:r>
          </w:p>
        </w:tc>
        <w:tc>
          <w:tcPr>
            <w:tcW w:w="3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17E4A" w14:textId="77777777" w:rsidR="006852E0" w:rsidRDefault="00D22407">
            <w:pPr>
              <w:widowControl w:val="0"/>
              <w:spacing w:line="240" w:lineRule="auto"/>
              <w:contextualSpacing w:val="0"/>
            </w:pPr>
            <w:r>
              <w:rPr>
                <w:b/>
                <w:i/>
              </w:rPr>
              <w:t>Not Evident or Little Command</w:t>
            </w:r>
          </w:p>
        </w:tc>
      </w:tr>
      <w:tr w:rsidR="006852E0" w14:paraId="1468422F" w14:textId="77777777">
        <w:trPr>
          <w:trHeight w:val="420"/>
        </w:trPr>
        <w:tc>
          <w:tcPr>
            <w:tcW w:w="1650" w:type="dxa"/>
            <w:vMerge w:val="restart"/>
            <w:tcBorders>
              <w:top w:val="single" w:sz="36" w:space="0" w:color="000000"/>
              <w:lef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ED236" w14:textId="77777777" w:rsidR="006852E0" w:rsidRDefault="00D22407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>Focus and Organization</w:t>
            </w:r>
          </w:p>
        </w:tc>
        <w:tc>
          <w:tcPr>
            <w:tcW w:w="3465" w:type="dxa"/>
            <w:tcBorders>
              <w:top w:val="single" w:sz="36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31120" w14:textId="77777777" w:rsidR="006852E0" w:rsidRDefault="00D22407">
            <w:pPr>
              <w:widowControl w:val="0"/>
              <w:spacing w:line="240" w:lineRule="auto"/>
              <w:contextualSpacing w:val="0"/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 xml:space="preserve">Introduces and </w:t>
            </w:r>
            <w:r>
              <w:rPr>
                <w:b/>
                <w:sz w:val="20"/>
                <w:szCs w:val="20"/>
              </w:rPr>
              <w:t>clearly</w:t>
            </w:r>
            <w:r>
              <w:rPr>
                <w:sz w:val="20"/>
                <w:szCs w:val="20"/>
              </w:rPr>
              <w:t xml:space="preserve"> maintains a precise claim throughout the work. </w:t>
            </w:r>
          </w:p>
          <w:p w14:paraId="0B44B240" w14:textId="77777777" w:rsidR="006852E0" w:rsidRDefault="00D22407">
            <w:pPr>
              <w:widowControl w:val="0"/>
              <w:spacing w:line="240" w:lineRule="auto"/>
              <w:contextualSpacing w:val="0"/>
            </w:pPr>
            <w:r>
              <w:rPr>
                <w:b/>
                <w:i/>
                <w:color w:val="FF0000"/>
                <w:sz w:val="20"/>
                <w:szCs w:val="20"/>
              </w:rPr>
              <w:t>(Recommended Weight:  20%)</w:t>
            </w:r>
          </w:p>
        </w:tc>
        <w:tc>
          <w:tcPr>
            <w:tcW w:w="3180" w:type="dxa"/>
            <w:tcBorders>
              <w:top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6E883" w14:textId="77777777" w:rsidR="006852E0" w:rsidRDefault="00D22407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Introduces and </w:t>
            </w:r>
            <w:r>
              <w:rPr>
                <w:b/>
                <w:sz w:val="20"/>
                <w:szCs w:val="20"/>
              </w:rPr>
              <w:t xml:space="preserve">adequately </w:t>
            </w:r>
            <w:r>
              <w:rPr>
                <w:sz w:val="20"/>
                <w:szCs w:val="20"/>
              </w:rPr>
              <w:t xml:space="preserve">maintains a claim throughout the work. </w:t>
            </w:r>
          </w:p>
        </w:tc>
        <w:tc>
          <w:tcPr>
            <w:tcW w:w="2595" w:type="dxa"/>
            <w:tcBorders>
              <w:top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2CA53" w14:textId="77777777" w:rsidR="006852E0" w:rsidRDefault="00D22407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Introduces a claim, but </w:t>
            </w:r>
            <w:r>
              <w:rPr>
                <w:b/>
                <w:sz w:val="20"/>
                <w:szCs w:val="20"/>
              </w:rPr>
              <w:t>does not</w:t>
            </w:r>
            <w:r>
              <w:rPr>
                <w:sz w:val="20"/>
                <w:szCs w:val="20"/>
              </w:rPr>
              <w:t xml:space="preserve"> maintain the claim throughout the work. </w:t>
            </w:r>
          </w:p>
        </w:tc>
        <w:tc>
          <w:tcPr>
            <w:tcW w:w="3510" w:type="dxa"/>
            <w:tcBorders>
              <w:top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898BC" w14:textId="77777777" w:rsidR="006852E0" w:rsidRDefault="00D22407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Does not</w:t>
            </w:r>
            <w:r>
              <w:rPr>
                <w:sz w:val="20"/>
                <w:szCs w:val="20"/>
              </w:rPr>
              <w:t xml:space="preserve"> introduce a claim. </w:t>
            </w:r>
          </w:p>
        </w:tc>
      </w:tr>
      <w:tr w:rsidR="006852E0" w14:paraId="3A19647F" w14:textId="77777777">
        <w:trPr>
          <w:trHeight w:val="420"/>
        </w:trPr>
        <w:tc>
          <w:tcPr>
            <w:tcW w:w="1650" w:type="dxa"/>
            <w:vMerge/>
            <w:tcBorders>
              <w:top w:val="single" w:sz="36" w:space="0" w:color="000000"/>
              <w:lef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FCF66" w14:textId="77777777" w:rsidR="006852E0" w:rsidRDefault="006852E0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3465" w:type="dxa"/>
            <w:tcBorders>
              <w:bottom w:val="single" w:sz="36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48374" w14:textId="77777777" w:rsidR="006852E0" w:rsidRDefault="00D22407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Provides a concluding statement or section that </w:t>
            </w:r>
            <w:r>
              <w:rPr>
                <w:b/>
                <w:sz w:val="20"/>
                <w:szCs w:val="20"/>
              </w:rPr>
              <w:t xml:space="preserve">strongly </w:t>
            </w:r>
            <w:r>
              <w:rPr>
                <w:sz w:val="20"/>
                <w:szCs w:val="20"/>
              </w:rPr>
              <w:t>supports the argument presented.</w:t>
            </w:r>
          </w:p>
          <w:p w14:paraId="39B3B54F" w14:textId="77777777" w:rsidR="006852E0" w:rsidRDefault="00D22407">
            <w:pPr>
              <w:widowControl w:val="0"/>
              <w:spacing w:line="240" w:lineRule="auto"/>
              <w:contextualSpacing w:val="0"/>
            </w:pPr>
            <w:r>
              <w:rPr>
                <w:b/>
                <w:i/>
                <w:color w:val="FF0000"/>
                <w:sz w:val="20"/>
                <w:szCs w:val="20"/>
              </w:rPr>
              <w:t>(Recommended Weight:  20%)</w:t>
            </w:r>
          </w:p>
        </w:tc>
        <w:tc>
          <w:tcPr>
            <w:tcW w:w="3180" w:type="dxa"/>
            <w:tcBorders>
              <w:bottom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6C12" w14:textId="77777777" w:rsidR="006852E0" w:rsidRDefault="00D22407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Provides a concluding statement or section that </w:t>
            </w:r>
            <w:r>
              <w:rPr>
                <w:b/>
                <w:sz w:val="20"/>
                <w:szCs w:val="20"/>
              </w:rPr>
              <w:t xml:space="preserve">adequately </w:t>
            </w:r>
            <w:r>
              <w:rPr>
                <w:sz w:val="20"/>
                <w:szCs w:val="20"/>
              </w:rPr>
              <w:t>supports the argument presented.</w:t>
            </w:r>
          </w:p>
        </w:tc>
        <w:tc>
          <w:tcPr>
            <w:tcW w:w="2595" w:type="dxa"/>
            <w:tcBorders>
              <w:bottom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1B63F" w14:textId="77777777" w:rsidR="006852E0" w:rsidRDefault="00D22407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Provides a concluding statement or section that </w:t>
            </w:r>
            <w:r>
              <w:rPr>
                <w:b/>
                <w:sz w:val="20"/>
                <w:szCs w:val="20"/>
              </w:rPr>
              <w:t xml:space="preserve">weakly </w:t>
            </w:r>
            <w:r>
              <w:rPr>
                <w:sz w:val="20"/>
                <w:szCs w:val="20"/>
              </w:rPr>
              <w:t>supports the argument presented.</w:t>
            </w:r>
          </w:p>
        </w:tc>
        <w:tc>
          <w:tcPr>
            <w:tcW w:w="3510" w:type="dxa"/>
            <w:tcBorders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96236" w14:textId="77777777" w:rsidR="006852E0" w:rsidRDefault="00D22407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Does not</w:t>
            </w:r>
            <w:r>
              <w:rPr>
                <w:sz w:val="20"/>
                <w:szCs w:val="20"/>
              </w:rPr>
              <w:t xml:space="preserve"> have a concluding statement or section or the concluding statement or section </w:t>
            </w:r>
            <w:r>
              <w:rPr>
                <w:b/>
                <w:sz w:val="20"/>
                <w:szCs w:val="20"/>
              </w:rPr>
              <w:t>does not</w:t>
            </w:r>
            <w:r>
              <w:rPr>
                <w:sz w:val="20"/>
                <w:szCs w:val="20"/>
              </w:rPr>
              <w:t xml:space="preserve"> support the argument presented.</w:t>
            </w:r>
          </w:p>
        </w:tc>
      </w:tr>
      <w:tr w:rsidR="006852E0" w14:paraId="0780ECFD" w14:textId="77777777">
        <w:tc>
          <w:tcPr>
            <w:tcW w:w="165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11C6D" w14:textId="77777777" w:rsidR="006852E0" w:rsidRDefault="00D22407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Elaboration and Evidence</w:t>
            </w:r>
          </w:p>
        </w:tc>
        <w:tc>
          <w:tcPr>
            <w:tcW w:w="3465" w:type="dxa"/>
            <w:tcBorders>
              <w:top w:val="single" w:sz="36" w:space="0" w:color="000000"/>
              <w:bottom w:val="single" w:sz="36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C6C99" w14:textId="77777777" w:rsidR="006852E0" w:rsidRDefault="00D22407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Integrates </w:t>
            </w:r>
            <w:r>
              <w:rPr>
                <w:b/>
                <w:sz w:val="20"/>
                <w:szCs w:val="20"/>
              </w:rPr>
              <w:t>strong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and convincing</w:t>
            </w:r>
            <w:r>
              <w:rPr>
                <w:sz w:val="20"/>
                <w:szCs w:val="20"/>
              </w:rPr>
              <w:t xml:space="preserve"> evidence from multiple, authoritative, discipline-appropriate texts in order to support analysis, reflection, and research while avoiding plagiarism.</w:t>
            </w:r>
          </w:p>
          <w:p w14:paraId="2B7EEBBF" w14:textId="77777777" w:rsidR="006852E0" w:rsidRDefault="00D22407">
            <w:pPr>
              <w:widowControl w:val="0"/>
              <w:spacing w:line="240" w:lineRule="auto"/>
              <w:contextualSpacing w:val="0"/>
            </w:pPr>
            <w:r>
              <w:rPr>
                <w:b/>
                <w:i/>
                <w:color w:val="FF0000"/>
                <w:sz w:val="20"/>
                <w:szCs w:val="20"/>
              </w:rPr>
              <w:t>(Recommended Weight:  35%)</w:t>
            </w:r>
          </w:p>
        </w:tc>
        <w:tc>
          <w:tcPr>
            <w:tcW w:w="3180" w:type="dxa"/>
            <w:tcBorders>
              <w:top w:val="single" w:sz="36" w:space="0" w:color="000000"/>
              <w:bottom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6C0C6" w14:textId="77777777" w:rsidR="006852E0" w:rsidRDefault="00D22407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Integrates </w:t>
            </w:r>
            <w:r>
              <w:rPr>
                <w:b/>
                <w:sz w:val="20"/>
                <w:szCs w:val="20"/>
              </w:rPr>
              <w:t>adequate</w:t>
            </w:r>
            <w:r>
              <w:rPr>
                <w:sz w:val="20"/>
                <w:szCs w:val="20"/>
              </w:rPr>
              <w:t xml:space="preserve"> evidence from texts in order to support analysis, reflection and research while avoiding plagiarism.</w:t>
            </w:r>
          </w:p>
        </w:tc>
        <w:tc>
          <w:tcPr>
            <w:tcW w:w="2595" w:type="dxa"/>
            <w:tcBorders>
              <w:top w:val="single" w:sz="36" w:space="0" w:color="000000"/>
              <w:bottom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E4338" w14:textId="77777777" w:rsidR="006852E0" w:rsidRDefault="00D22407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Integrates </w:t>
            </w:r>
            <w:r>
              <w:rPr>
                <w:b/>
                <w:sz w:val="20"/>
                <w:szCs w:val="20"/>
              </w:rPr>
              <w:t>weak</w:t>
            </w:r>
            <w:r>
              <w:rPr>
                <w:sz w:val="20"/>
                <w:szCs w:val="20"/>
              </w:rPr>
              <w:t xml:space="preserve"> evidence from texts in order to support analysis, reflection, and research while avoiding plagiarism.</w:t>
            </w:r>
          </w:p>
        </w:tc>
        <w:tc>
          <w:tcPr>
            <w:tcW w:w="3510" w:type="dxa"/>
            <w:tcBorders>
              <w:top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5ACA3" w14:textId="77777777" w:rsidR="006852E0" w:rsidRDefault="00D22407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Does not</w:t>
            </w:r>
            <w:r>
              <w:rPr>
                <w:sz w:val="20"/>
                <w:szCs w:val="20"/>
              </w:rPr>
              <w:t xml:space="preserve"> integrate evidence from texts to support the argument.</w:t>
            </w:r>
          </w:p>
          <w:p w14:paraId="525CB544" w14:textId="77777777" w:rsidR="006852E0" w:rsidRDefault="006852E0">
            <w:pPr>
              <w:widowControl w:val="0"/>
              <w:spacing w:line="240" w:lineRule="auto"/>
              <w:contextualSpacing w:val="0"/>
            </w:pPr>
          </w:p>
          <w:p w14:paraId="49A2D98E" w14:textId="77777777" w:rsidR="006852E0" w:rsidRDefault="00D22407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Work contains plagiarism.</w:t>
            </w:r>
          </w:p>
        </w:tc>
      </w:tr>
      <w:tr w:rsidR="006852E0" w14:paraId="6B58ED49" w14:textId="77777777">
        <w:tc>
          <w:tcPr>
            <w:tcW w:w="165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05590" w14:textId="77777777" w:rsidR="006852E0" w:rsidRDefault="00D22407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Style</w:t>
            </w:r>
          </w:p>
        </w:tc>
        <w:tc>
          <w:tcPr>
            <w:tcW w:w="3465" w:type="dxa"/>
            <w:tcBorders>
              <w:top w:val="single" w:sz="36" w:space="0" w:color="000000"/>
              <w:bottom w:val="single" w:sz="36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F633C" w14:textId="58D4BDC7" w:rsidR="006852E0" w:rsidRDefault="00D22407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Consistently and accurately</w:t>
            </w:r>
            <w:r>
              <w:rPr>
                <w:sz w:val="20"/>
                <w:szCs w:val="20"/>
              </w:rPr>
              <w:t xml:space="preserve"> integrates general academic and domain-specific vocabulary clearly appropriate to task, purpose and audience. </w:t>
            </w:r>
          </w:p>
          <w:p w14:paraId="547EBA41" w14:textId="77777777" w:rsidR="006852E0" w:rsidRDefault="006852E0">
            <w:pPr>
              <w:widowControl w:val="0"/>
              <w:spacing w:line="240" w:lineRule="auto"/>
              <w:contextualSpacing w:val="0"/>
            </w:pPr>
          </w:p>
          <w:p w14:paraId="1CBC3811" w14:textId="77777777" w:rsidR="006852E0" w:rsidRDefault="00D22407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Establishes and </w:t>
            </w:r>
            <w:r>
              <w:rPr>
                <w:b/>
                <w:sz w:val="20"/>
                <w:szCs w:val="20"/>
              </w:rPr>
              <w:t>consistently maintains</w:t>
            </w:r>
            <w:r>
              <w:rPr>
                <w:sz w:val="20"/>
                <w:szCs w:val="20"/>
              </w:rPr>
              <w:t xml:space="preserve"> a formal style and objective tone in a manner that is appropriate to discipline, task, purpose and audience. </w:t>
            </w:r>
            <w:r>
              <w:rPr>
                <w:b/>
                <w:i/>
                <w:color w:val="FF0000"/>
                <w:sz w:val="20"/>
                <w:szCs w:val="20"/>
              </w:rPr>
              <w:t>(Recommended Weight:  20%)</w:t>
            </w:r>
          </w:p>
        </w:tc>
        <w:tc>
          <w:tcPr>
            <w:tcW w:w="3180" w:type="dxa"/>
            <w:tcBorders>
              <w:top w:val="single" w:sz="36" w:space="0" w:color="000000"/>
              <w:bottom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F9F97" w14:textId="77777777" w:rsidR="006852E0" w:rsidRDefault="00D22407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Often</w:t>
            </w:r>
            <w:r>
              <w:rPr>
                <w:sz w:val="20"/>
                <w:szCs w:val="20"/>
              </w:rPr>
              <w:t xml:space="preserve"> integrates general academic and domain-specific vocabulary appropriate to task, purpose and audience.</w:t>
            </w:r>
          </w:p>
          <w:p w14:paraId="015A65A3" w14:textId="77777777" w:rsidR="006852E0" w:rsidRDefault="006852E0">
            <w:pPr>
              <w:widowControl w:val="0"/>
              <w:spacing w:line="240" w:lineRule="auto"/>
              <w:contextualSpacing w:val="0"/>
            </w:pPr>
          </w:p>
          <w:p w14:paraId="03F9C269" w14:textId="77777777" w:rsidR="006852E0" w:rsidRDefault="00D22407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Establishes and </w:t>
            </w:r>
            <w:r>
              <w:rPr>
                <w:b/>
                <w:sz w:val="20"/>
                <w:szCs w:val="20"/>
              </w:rPr>
              <w:t>often maintains</w:t>
            </w:r>
            <w:r>
              <w:rPr>
                <w:sz w:val="20"/>
                <w:szCs w:val="20"/>
              </w:rPr>
              <w:t xml:space="preserve"> a formal style and objective tone in a manner that is appropriate to discipline, task, purpose and audience. </w:t>
            </w:r>
          </w:p>
        </w:tc>
        <w:tc>
          <w:tcPr>
            <w:tcW w:w="2595" w:type="dxa"/>
            <w:tcBorders>
              <w:top w:val="single" w:sz="36" w:space="0" w:color="000000"/>
              <w:bottom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3DF5C" w14:textId="77777777" w:rsidR="006852E0" w:rsidRDefault="00D22407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Occasionally</w:t>
            </w:r>
            <w:r>
              <w:rPr>
                <w:sz w:val="20"/>
                <w:szCs w:val="20"/>
              </w:rPr>
              <w:t xml:space="preserve"> integrates general academic and domain-specific vocabulary appropriate to task, purpose and audience.</w:t>
            </w:r>
          </w:p>
          <w:p w14:paraId="6CBC87A5" w14:textId="77777777" w:rsidR="006852E0" w:rsidRDefault="006852E0">
            <w:pPr>
              <w:widowControl w:val="0"/>
              <w:spacing w:line="240" w:lineRule="auto"/>
              <w:contextualSpacing w:val="0"/>
            </w:pPr>
          </w:p>
          <w:p w14:paraId="17ACC0D7" w14:textId="77777777" w:rsidR="006852E0" w:rsidRDefault="00D22407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Establishes, but </w:t>
            </w:r>
            <w:r>
              <w:rPr>
                <w:b/>
                <w:sz w:val="20"/>
                <w:szCs w:val="20"/>
              </w:rPr>
              <w:t>does not maintain</w:t>
            </w:r>
            <w:r>
              <w:rPr>
                <w:sz w:val="20"/>
                <w:szCs w:val="20"/>
              </w:rPr>
              <w:t xml:space="preserve"> a formal style and objective tone that is appropriate to discipline, task, purpose, and audience. </w:t>
            </w:r>
          </w:p>
        </w:tc>
        <w:tc>
          <w:tcPr>
            <w:tcW w:w="3510" w:type="dxa"/>
            <w:tcBorders>
              <w:top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EA596" w14:textId="77777777" w:rsidR="006852E0" w:rsidRDefault="00D22407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Does not</w:t>
            </w:r>
            <w:r>
              <w:rPr>
                <w:sz w:val="20"/>
                <w:szCs w:val="20"/>
              </w:rPr>
              <w:t xml:space="preserve"> integrate accurate general academic and domain-specific vocabulary.</w:t>
            </w:r>
          </w:p>
          <w:p w14:paraId="04D34F27" w14:textId="77777777" w:rsidR="006852E0" w:rsidRDefault="006852E0">
            <w:pPr>
              <w:widowControl w:val="0"/>
              <w:spacing w:line="240" w:lineRule="auto"/>
              <w:contextualSpacing w:val="0"/>
            </w:pPr>
          </w:p>
          <w:p w14:paraId="39902E9C" w14:textId="77777777" w:rsidR="006852E0" w:rsidRDefault="00D22407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Does not</w:t>
            </w:r>
            <w:r>
              <w:rPr>
                <w:sz w:val="20"/>
                <w:szCs w:val="20"/>
              </w:rPr>
              <w:t xml:space="preserve"> establish a formal style and objective tone appropriate to discipline, task, purpose and audience. </w:t>
            </w:r>
          </w:p>
        </w:tc>
      </w:tr>
      <w:tr w:rsidR="006852E0" w14:paraId="03B88C5E" w14:textId="77777777">
        <w:tc>
          <w:tcPr>
            <w:tcW w:w="165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408D2" w14:textId="77777777" w:rsidR="006852E0" w:rsidRDefault="00D22407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Conventions</w:t>
            </w:r>
          </w:p>
        </w:tc>
        <w:tc>
          <w:tcPr>
            <w:tcW w:w="3465" w:type="dxa"/>
            <w:tcBorders>
              <w:top w:val="single" w:sz="36" w:space="0" w:color="000000"/>
              <w:bottom w:val="single" w:sz="36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35181" w14:textId="77777777" w:rsidR="006852E0" w:rsidRDefault="00D22407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Demonstrates a </w:t>
            </w:r>
            <w:r>
              <w:rPr>
                <w:b/>
                <w:sz w:val="20"/>
                <w:szCs w:val="20"/>
              </w:rPr>
              <w:t>strong</w:t>
            </w:r>
            <w:r>
              <w:rPr>
                <w:sz w:val="20"/>
                <w:szCs w:val="20"/>
              </w:rPr>
              <w:t xml:space="preserve"> command of the conventions of Standard English grammar (particularly capitalization, punctuation, and spelling).</w:t>
            </w:r>
          </w:p>
          <w:p w14:paraId="3CFAAD50" w14:textId="77777777" w:rsidR="006852E0" w:rsidRDefault="00D22407">
            <w:pPr>
              <w:widowControl w:val="0"/>
              <w:spacing w:line="240" w:lineRule="auto"/>
              <w:contextualSpacing w:val="0"/>
            </w:pPr>
            <w:r>
              <w:rPr>
                <w:b/>
                <w:i/>
                <w:color w:val="FF0000"/>
                <w:sz w:val="20"/>
                <w:szCs w:val="20"/>
              </w:rPr>
              <w:t>(Recommended Weight:  5%)</w:t>
            </w:r>
          </w:p>
        </w:tc>
        <w:tc>
          <w:tcPr>
            <w:tcW w:w="3180" w:type="dxa"/>
            <w:tcBorders>
              <w:top w:val="single" w:sz="36" w:space="0" w:color="000000"/>
              <w:bottom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79BAB" w14:textId="77777777" w:rsidR="006852E0" w:rsidRDefault="00D22407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Demonstrates an </w:t>
            </w:r>
            <w:r>
              <w:rPr>
                <w:b/>
                <w:sz w:val="20"/>
                <w:szCs w:val="20"/>
              </w:rPr>
              <w:t>adequate</w:t>
            </w:r>
            <w:r>
              <w:rPr>
                <w:sz w:val="20"/>
                <w:szCs w:val="20"/>
              </w:rPr>
              <w:t xml:space="preserve"> command of the conventions of Standard English grammar (particularly capitalization, punctuation, and spelling)</w:t>
            </w:r>
          </w:p>
        </w:tc>
        <w:tc>
          <w:tcPr>
            <w:tcW w:w="2595" w:type="dxa"/>
            <w:tcBorders>
              <w:top w:val="single" w:sz="36" w:space="0" w:color="000000"/>
              <w:bottom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E582" w14:textId="77777777" w:rsidR="006852E0" w:rsidRDefault="00D22407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Demonstrates a </w:t>
            </w:r>
            <w:r>
              <w:rPr>
                <w:b/>
                <w:sz w:val="20"/>
                <w:szCs w:val="20"/>
              </w:rPr>
              <w:t>weak</w:t>
            </w:r>
            <w:r>
              <w:rPr>
                <w:sz w:val="20"/>
                <w:szCs w:val="20"/>
              </w:rPr>
              <w:t xml:space="preserve"> command of the conventions of Standard English grammar (particularly capitalization, punctuation, and spelling)</w:t>
            </w:r>
          </w:p>
        </w:tc>
        <w:tc>
          <w:tcPr>
            <w:tcW w:w="3510" w:type="dxa"/>
            <w:tcBorders>
              <w:top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085C5" w14:textId="77777777" w:rsidR="006852E0" w:rsidRDefault="00D22407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Does not</w:t>
            </w:r>
            <w:r>
              <w:rPr>
                <w:sz w:val="20"/>
                <w:szCs w:val="20"/>
              </w:rPr>
              <w:t xml:space="preserve"> demonstrate command of Standard English grammar (particularly capitalization, punctuation, and spelling)</w:t>
            </w:r>
          </w:p>
        </w:tc>
      </w:tr>
    </w:tbl>
    <w:p w14:paraId="59EDB5A8" w14:textId="77777777" w:rsidR="006852E0" w:rsidRDefault="006852E0"/>
    <w:sectPr w:rsidR="006852E0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E0"/>
    <w:rsid w:val="0004179A"/>
    <w:rsid w:val="00275376"/>
    <w:rsid w:val="006852E0"/>
    <w:rsid w:val="00A55286"/>
    <w:rsid w:val="00AE4300"/>
    <w:rsid w:val="00C743BE"/>
    <w:rsid w:val="00D2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FEF4A"/>
  <w15:docId w15:val="{A3856EEE-5B26-40B8-826E-C6ECEBFA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Fox</dc:creator>
  <cp:lastModifiedBy>Shawan Robinson</cp:lastModifiedBy>
  <cp:revision>2</cp:revision>
  <dcterms:created xsi:type="dcterms:W3CDTF">2018-08-28T11:12:00Z</dcterms:created>
  <dcterms:modified xsi:type="dcterms:W3CDTF">2018-08-28T11:12:00Z</dcterms:modified>
</cp:coreProperties>
</file>